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2C" w:rsidRDefault="00B5012C" w:rsidP="00B5012C">
      <w:pPr>
        <w:widowControl/>
        <w:numPr>
          <w:ilvl w:val="0"/>
          <w:numId w:val="1"/>
        </w:numPr>
        <w:suppressAutoHyphens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61975" cy="657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12C" w:rsidRPr="000F0DE6" w:rsidRDefault="00B5012C" w:rsidP="00B5012C">
      <w:pPr>
        <w:widowControl/>
        <w:numPr>
          <w:ilvl w:val="0"/>
          <w:numId w:val="1"/>
        </w:numPr>
        <w:suppressAutoHyphens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B5012C" w:rsidRPr="000F0DE6" w:rsidRDefault="00B5012C" w:rsidP="00B5012C">
      <w:pPr>
        <w:widowControl/>
        <w:numPr>
          <w:ilvl w:val="0"/>
          <w:numId w:val="1"/>
        </w:numPr>
        <w:suppressAutoHyphens/>
        <w:autoSpaceDE/>
        <w:autoSpaceDN/>
        <w:adjustRightInd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ДЕКАБРИСТСКОГО</w:t>
      </w:r>
      <w:r w:rsidRPr="000F0DE6">
        <w:rPr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B5012C" w:rsidRPr="000F0DE6" w:rsidRDefault="00B5012C" w:rsidP="00B5012C">
      <w:pPr>
        <w:widowControl/>
        <w:numPr>
          <w:ilvl w:val="0"/>
          <w:numId w:val="1"/>
        </w:numPr>
        <w:suppressAutoHyphens/>
        <w:autoSpaceDE/>
        <w:autoSpaceDN/>
        <w:adjustRightInd/>
        <w:jc w:val="center"/>
        <w:rPr>
          <w:b/>
          <w:color w:val="000000"/>
          <w:spacing w:val="20"/>
          <w:sz w:val="28"/>
          <w:szCs w:val="28"/>
        </w:rPr>
      </w:pPr>
    </w:p>
    <w:p w:rsidR="00B5012C" w:rsidRPr="000F0DE6" w:rsidRDefault="00B5012C" w:rsidP="00B5012C">
      <w:pPr>
        <w:widowControl/>
        <w:numPr>
          <w:ilvl w:val="0"/>
          <w:numId w:val="1"/>
        </w:numPr>
        <w:suppressAutoHyphens/>
        <w:autoSpaceDE/>
        <w:autoSpaceDN/>
        <w:adjustRightInd/>
        <w:jc w:val="center"/>
        <w:rPr>
          <w:i/>
          <w:color w:val="000000"/>
          <w:spacing w:val="20"/>
          <w:sz w:val="28"/>
          <w:szCs w:val="28"/>
        </w:rPr>
      </w:pPr>
      <w:r>
        <w:rPr>
          <w:b/>
          <w:i/>
          <w:color w:val="000000"/>
          <w:spacing w:val="20"/>
          <w:sz w:val="28"/>
          <w:szCs w:val="28"/>
        </w:rPr>
        <w:t>ПОСТАНОВЛЕНИЕ</w:t>
      </w:r>
    </w:p>
    <w:p w:rsidR="00B5012C" w:rsidRPr="000F0DE6" w:rsidRDefault="00B5012C" w:rsidP="00B5012C">
      <w:pPr>
        <w:ind w:firstLine="142"/>
        <w:jc w:val="center"/>
        <w:rPr>
          <w:color w:val="000000"/>
          <w:sz w:val="28"/>
          <w:szCs w:val="28"/>
        </w:rPr>
      </w:pPr>
    </w:p>
    <w:p w:rsidR="00B5012C" w:rsidRPr="00B5012C" w:rsidRDefault="00B5012C" w:rsidP="00B5012C">
      <w:pPr>
        <w:jc w:val="both"/>
        <w:rPr>
          <w:b/>
          <w:color w:val="000000"/>
          <w:sz w:val="28"/>
          <w:szCs w:val="28"/>
        </w:rPr>
      </w:pPr>
      <w:r w:rsidRPr="00B5012C">
        <w:rPr>
          <w:b/>
          <w:color w:val="000000"/>
          <w:sz w:val="28"/>
          <w:szCs w:val="28"/>
        </w:rPr>
        <w:t xml:space="preserve">От   </w:t>
      </w:r>
      <w:r w:rsidR="00E35629">
        <w:rPr>
          <w:b/>
          <w:color w:val="000000"/>
          <w:sz w:val="28"/>
          <w:szCs w:val="28"/>
        </w:rPr>
        <w:t>20.06.2024 г.</w:t>
      </w:r>
      <w:r w:rsidRPr="00B5012C">
        <w:rPr>
          <w:b/>
          <w:color w:val="000000"/>
          <w:sz w:val="28"/>
          <w:szCs w:val="28"/>
        </w:rPr>
        <w:t xml:space="preserve">                                                                       </w:t>
      </w:r>
      <w:r w:rsidR="00E35629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                  </w:t>
      </w:r>
      <w:r w:rsidRPr="00B5012C">
        <w:rPr>
          <w:b/>
          <w:color w:val="000000"/>
          <w:sz w:val="28"/>
          <w:szCs w:val="28"/>
        </w:rPr>
        <w:t xml:space="preserve">№ </w:t>
      </w:r>
      <w:r w:rsidR="00E35629">
        <w:rPr>
          <w:b/>
          <w:color w:val="000000"/>
          <w:sz w:val="28"/>
          <w:szCs w:val="28"/>
        </w:rPr>
        <w:t>24</w:t>
      </w:r>
    </w:p>
    <w:p w:rsidR="00C1246D" w:rsidRPr="00C1246D" w:rsidRDefault="00C1246D" w:rsidP="00C1246D">
      <w:pPr>
        <w:widowControl/>
        <w:tabs>
          <w:tab w:val="left" w:pos="0"/>
          <w:tab w:val="left" w:pos="180"/>
          <w:tab w:val="left" w:pos="360"/>
          <w:tab w:val="left" w:pos="1080"/>
        </w:tabs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262" w:type="dxa"/>
        <w:tblLook w:val="04A0"/>
      </w:tblPr>
      <w:tblGrid>
        <w:gridCol w:w="9262"/>
      </w:tblGrid>
      <w:tr w:rsidR="003D4297" w:rsidTr="003D4297">
        <w:trPr>
          <w:cantSplit/>
          <w:trHeight w:val="109"/>
        </w:trPr>
        <w:tc>
          <w:tcPr>
            <w:tcW w:w="9262" w:type="dxa"/>
          </w:tcPr>
          <w:p w:rsidR="003D4297" w:rsidRPr="00777F15" w:rsidRDefault="003D4297" w:rsidP="00B5012C">
            <w:pPr>
              <w:ind w:right="3943"/>
              <w:jc w:val="both"/>
              <w:rPr>
                <w:sz w:val="28"/>
                <w:szCs w:val="28"/>
              </w:rPr>
            </w:pPr>
            <w:r w:rsidRPr="00B5012C">
              <w:rPr>
                <w:b/>
                <w:sz w:val="28"/>
                <w:szCs w:val="28"/>
              </w:rPr>
              <w:t>О порядке ведения реестра муниципального</w:t>
            </w:r>
            <w:r w:rsidR="00B5012C">
              <w:rPr>
                <w:b/>
                <w:sz w:val="28"/>
                <w:szCs w:val="28"/>
              </w:rPr>
              <w:t xml:space="preserve"> </w:t>
            </w:r>
            <w:r w:rsidR="00777F15" w:rsidRPr="00B5012C">
              <w:rPr>
                <w:b/>
                <w:sz w:val="28"/>
                <w:szCs w:val="28"/>
              </w:rPr>
              <w:t>и</w:t>
            </w:r>
            <w:r w:rsidRPr="00B5012C">
              <w:rPr>
                <w:b/>
                <w:sz w:val="28"/>
                <w:szCs w:val="28"/>
              </w:rPr>
              <w:t xml:space="preserve">мущества </w:t>
            </w:r>
            <w:r w:rsidR="00B5012C">
              <w:rPr>
                <w:b/>
                <w:sz w:val="28"/>
                <w:szCs w:val="28"/>
              </w:rPr>
              <w:t>Декабристского</w:t>
            </w:r>
            <w:r w:rsidR="00971718" w:rsidRPr="00B5012C">
              <w:rPr>
                <w:b/>
                <w:sz w:val="28"/>
                <w:szCs w:val="28"/>
              </w:rPr>
              <w:t xml:space="preserve"> </w:t>
            </w:r>
            <w:r w:rsidRPr="00B5012C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971718" w:rsidRPr="00B5012C">
              <w:rPr>
                <w:b/>
                <w:sz w:val="28"/>
                <w:szCs w:val="28"/>
              </w:rPr>
              <w:t xml:space="preserve">Ершовского района Саратовской </w:t>
            </w:r>
            <w:r w:rsidRPr="00B5012C">
              <w:rPr>
                <w:b/>
                <w:sz w:val="28"/>
                <w:szCs w:val="28"/>
              </w:rPr>
              <w:t>области</w:t>
            </w: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/>
      </w:tblPr>
      <w:tblGrid>
        <w:gridCol w:w="227"/>
        <w:gridCol w:w="277"/>
      </w:tblGrid>
      <w:tr w:rsidR="003D4297" w:rsidTr="003D4297">
        <w:trPr>
          <w:cantSplit/>
          <w:trHeight w:val="112"/>
        </w:trPr>
        <w:tc>
          <w:tcPr>
            <w:tcW w:w="227" w:type="dxa"/>
          </w:tcPr>
          <w:p w:rsidR="003D4297" w:rsidRDefault="003D4297" w:rsidP="003D4297">
            <w:pPr>
              <w:pStyle w:val="1"/>
            </w:pPr>
          </w:p>
        </w:tc>
        <w:tc>
          <w:tcPr>
            <w:tcW w:w="277" w:type="dxa"/>
          </w:tcPr>
          <w:p w:rsidR="003D4297" w:rsidRDefault="003D4297" w:rsidP="003D4297">
            <w:pPr>
              <w:pStyle w:val="1"/>
              <w:rPr>
                <w:b w:val="0"/>
                <w:bCs w:val="0"/>
              </w:rPr>
            </w:pPr>
          </w:p>
        </w:tc>
      </w:tr>
    </w:tbl>
    <w:p w:rsidR="003D4297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7686E" w:rsidRDefault="003D4297" w:rsidP="00E7686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администраци</w:t>
      </w:r>
      <w:r w:rsidR="00E7686E">
        <w:rPr>
          <w:rFonts w:ascii="Times New Roman" w:hAnsi="Times New Roman" w:cs="Times New Roman"/>
          <w:sz w:val="28"/>
          <w:szCs w:val="28"/>
        </w:rPr>
        <w:t>я Декабристского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3D4297" w:rsidRPr="00E7686E" w:rsidRDefault="00971718" w:rsidP="00E7686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6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D4297" w:rsidRPr="00E7686E">
        <w:rPr>
          <w:rFonts w:ascii="Times New Roman" w:hAnsi="Times New Roman" w:cs="Times New Roman"/>
          <w:b/>
          <w:sz w:val="28"/>
          <w:szCs w:val="28"/>
        </w:rPr>
        <w:t>:</w:t>
      </w:r>
    </w:p>
    <w:p w:rsidR="003D4297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Положение «О порядке ведения реестра муниципального имущества </w:t>
      </w:r>
      <w:r w:rsidR="00E7686E">
        <w:rPr>
          <w:rFonts w:ascii="Times New Roman" w:hAnsi="Times New Roman" w:cs="Times New Roman"/>
          <w:sz w:val="28"/>
          <w:szCs w:val="28"/>
        </w:rPr>
        <w:t>Декабристского</w:t>
      </w:r>
      <w:r w:rsidR="00971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971718">
        <w:rPr>
          <w:rFonts w:ascii="Times New Roman" w:hAnsi="Times New Roman" w:cs="Times New Roman"/>
          <w:sz w:val="28"/>
          <w:szCs w:val="28"/>
        </w:rPr>
        <w:t>Ершовского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1718">
        <w:rPr>
          <w:rFonts w:ascii="Times New Roman" w:hAnsi="Times New Roman" w:cs="Times New Roman"/>
          <w:sz w:val="28"/>
          <w:szCs w:val="28"/>
        </w:rPr>
        <w:t>Саратовской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 согласно приложению.</w:t>
      </w:r>
    </w:p>
    <w:p w:rsidR="003D4297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7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97171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971718">
        <w:rPr>
          <w:sz w:val="28"/>
          <w:szCs w:val="28"/>
          <w:lang w:eastAsia="en-US"/>
        </w:rPr>
        <w:t>подлежит размещению на официальном сайте администрации</w:t>
      </w:r>
      <w:r w:rsidR="00971718">
        <w:rPr>
          <w:sz w:val="28"/>
          <w:szCs w:val="28"/>
        </w:rPr>
        <w:t xml:space="preserve"> </w:t>
      </w:r>
      <w:r w:rsidR="00E03D27">
        <w:rPr>
          <w:sz w:val="28"/>
          <w:szCs w:val="28"/>
        </w:rPr>
        <w:t xml:space="preserve">и </w:t>
      </w:r>
      <w:r>
        <w:rPr>
          <w:sz w:val="28"/>
          <w:szCs w:val="28"/>
        </w:rPr>
        <w:t>вступает в силу после</w:t>
      </w:r>
      <w:r w:rsidR="00E03D27">
        <w:rPr>
          <w:sz w:val="28"/>
          <w:szCs w:val="28"/>
        </w:rPr>
        <w:t xml:space="preserve"> его официального обнародования</w:t>
      </w:r>
      <w:bookmarkStart w:id="0" w:name="_GoBack"/>
      <w:bookmarkEnd w:id="0"/>
      <w:r>
        <w:rPr>
          <w:sz w:val="28"/>
          <w:szCs w:val="28"/>
        </w:rPr>
        <w:t>.</w:t>
      </w: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446FF" w:rsidRDefault="005446FF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D4297" w:rsidRDefault="003D4297" w:rsidP="003D4297">
      <w:pPr>
        <w:jc w:val="both"/>
        <w:rPr>
          <w:sz w:val="28"/>
          <w:szCs w:val="28"/>
        </w:rPr>
      </w:pPr>
    </w:p>
    <w:p w:rsidR="00E03D27" w:rsidRDefault="00E03D27" w:rsidP="003D4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140A98">
        <w:rPr>
          <w:sz w:val="28"/>
          <w:szCs w:val="28"/>
        </w:rPr>
        <w:t>Декабристского</w:t>
      </w:r>
      <w:proofErr w:type="gramEnd"/>
    </w:p>
    <w:p w:rsidR="003D4297" w:rsidRDefault="00E03D27" w:rsidP="003D4297">
      <w:pPr>
        <w:jc w:val="both"/>
        <w:rPr>
          <w:b/>
          <w:bCs/>
          <w:sz w:val="27"/>
          <w:szCs w:val="27"/>
        </w:rPr>
      </w:pPr>
      <w:r>
        <w:rPr>
          <w:sz w:val="28"/>
          <w:szCs w:val="28"/>
        </w:rPr>
        <w:t>муниципального образования</w:t>
      </w:r>
      <w:r w:rsidR="003D4297">
        <w:rPr>
          <w:sz w:val="28"/>
          <w:szCs w:val="28"/>
        </w:rPr>
        <w:t xml:space="preserve">                                                 </w:t>
      </w:r>
      <w:r w:rsidR="00140A98">
        <w:rPr>
          <w:sz w:val="28"/>
          <w:szCs w:val="28"/>
        </w:rPr>
        <w:t>М. А. Полещук</w:t>
      </w:r>
    </w:p>
    <w:p w:rsidR="003D4297" w:rsidRDefault="003D4297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3D4297" w:rsidRDefault="003D4297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5132D" w:rsidRDefault="0005132D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5132D" w:rsidRDefault="0005132D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3D4297" w:rsidRDefault="003D4297" w:rsidP="003D4297">
      <w:pPr>
        <w:outlineLvl w:val="2"/>
        <w:rPr>
          <w:b/>
          <w:bCs/>
          <w:sz w:val="27"/>
          <w:szCs w:val="27"/>
        </w:rPr>
      </w:pPr>
    </w:p>
    <w:p w:rsidR="00214440" w:rsidRPr="003D4297" w:rsidRDefault="00214440" w:rsidP="003D4297">
      <w:pPr>
        <w:outlineLvl w:val="2"/>
        <w:rPr>
          <w:bCs/>
          <w:sz w:val="28"/>
          <w:szCs w:val="28"/>
        </w:rPr>
      </w:pPr>
    </w:p>
    <w:p w:rsidR="003D4297" w:rsidRPr="003D4297" w:rsidRDefault="003D4297" w:rsidP="003D4297">
      <w:pPr>
        <w:jc w:val="right"/>
        <w:outlineLvl w:val="2"/>
        <w:rPr>
          <w:bCs/>
          <w:sz w:val="28"/>
          <w:szCs w:val="28"/>
        </w:rPr>
      </w:pPr>
      <w:r w:rsidRPr="003D4297">
        <w:rPr>
          <w:bCs/>
          <w:sz w:val="28"/>
          <w:szCs w:val="28"/>
        </w:rPr>
        <w:t xml:space="preserve">Приложение </w:t>
      </w:r>
    </w:p>
    <w:p w:rsidR="003D4297" w:rsidRPr="003D4297" w:rsidRDefault="003D4297" w:rsidP="003D4297">
      <w:pPr>
        <w:jc w:val="right"/>
        <w:outlineLvl w:val="2"/>
        <w:rPr>
          <w:bCs/>
          <w:sz w:val="28"/>
          <w:szCs w:val="28"/>
        </w:rPr>
      </w:pPr>
      <w:r w:rsidRPr="003D4297">
        <w:rPr>
          <w:bCs/>
          <w:sz w:val="28"/>
          <w:szCs w:val="28"/>
        </w:rPr>
        <w:t>к постановлению администрации</w:t>
      </w:r>
    </w:p>
    <w:p w:rsidR="003D4297" w:rsidRDefault="00E13B88" w:rsidP="00E35629">
      <w:pPr>
        <w:ind w:left="4248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Декабристского</w:t>
      </w:r>
      <w:r w:rsidR="00971718">
        <w:rPr>
          <w:bCs/>
          <w:sz w:val="28"/>
          <w:szCs w:val="28"/>
        </w:rPr>
        <w:t xml:space="preserve"> МО</w:t>
      </w:r>
      <w:r w:rsidR="00214440">
        <w:rPr>
          <w:bCs/>
          <w:sz w:val="28"/>
          <w:szCs w:val="28"/>
        </w:rPr>
        <w:t xml:space="preserve"> </w:t>
      </w:r>
      <w:r w:rsidR="00E35629">
        <w:rPr>
          <w:bCs/>
          <w:sz w:val="28"/>
          <w:szCs w:val="28"/>
        </w:rPr>
        <w:t>от</w:t>
      </w:r>
      <w:r w:rsidR="00170458">
        <w:rPr>
          <w:bCs/>
          <w:sz w:val="28"/>
          <w:szCs w:val="28"/>
        </w:rPr>
        <w:t xml:space="preserve"> </w:t>
      </w:r>
      <w:r w:rsidR="00E35629">
        <w:rPr>
          <w:bCs/>
          <w:sz w:val="28"/>
          <w:szCs w:val="28"/>
        </w:rPr>
        <w:t>20.06.2024</w:t>
      </w:r>
      <w:r w:rsidR="00170458">
        <w:rPr>
          <w:bCs/>
          <w:sz w:val="28"/>
          <w:szCs w:val="28"/>
        </w:rPr>
        <w:t xml:space="preserve">   </w:t>
      </w:r>
      <w:r w:rsidR="003D4297" w:rsidRPr="003D4297">
        <w:rPr>
          <w:bCs/>
          <w:sz w:val="28"/>
          <w:szCs w:val="28"/>
        </w:rPr>
        <w:t xml:space="preserve">№ </w:t>
      </w:r>
      <w:r w:rsidR="00E35629">
        <w:rPr>
          <w:bCs/>
          <w:sz w:val="28"/>
          <w:szCs w:val="28"/>
        </w:rPr>
        <w:t>24</w:t>
      </w:r>
    </w:p>
    <w:p w:rsidR="00170458" w:rsidRPr="003D4297" w:rsidRDefault="00170458" w:rsidP="00214440">
      <w:pPr>
        <w:ind w:left="4248" w:firstLine="708"/>
        <w:jc w:val="center"/>
        <w:outlineLvl w:val="2"/>
        <w:rPr>
          <w:bCs/>
          <w:sz w:val="28"/>
          <w:szCs w:val="28"/>
        </w:rPr>
      </w:pPr>
    </w:p>
    <w:p w:rsidR="003D4297" w:rsidRDefault="003D4297" w:rsidP="00170458">
      <w:pPr>
        <w:pStyle w:val="a3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Порядок </w:t>
      </w:r>
      <w:r w:rsidR="00E03D27" w:rsidRPr="00E03D27">
        <w:rPr>
          <w:rFonts w:ascii="Times New Roman" w:hAnsi="Times New Roman" w:cs="Times New Roman"/>
          <w:b/>
          <w:sz w:val="32"/>
          <w:szCs w:val="28"/>
        </w:rPr>
        <w:t xml:space="preserve">ведения реестра муниципального имущества </w:t>
      </w:r>
      <w:r w:rsidR="00E13B88">
        <w:rPr>
          <w:rFonts w:ascii="Times New Roman" w:hAnsi="Times New Roman" w:cs="Times New Roman"/>
          <w:b/>
          <w:sz w:val="32"/>
          <w:szCs w:val="28"/>
        </w:rPr>
        <w:t>Декабристского</w:t>
      </w:r>
      <w:r w:rsidR="00E03D27" w:rsidRPr="00E03D27">
        <w:rPr>
          <w:rFonts w:ascii="Times New Roman" w:hAnsi="Times New Roman" w:cs="Times New Roman"/>
          <w:b/>
          <w:sz w:val="32"/>
          <w:szCs w:val="28"/>
        </w:rPr>
        <w:t xml:space="preserve"> муниципального образования  Ершовского района Саратовской</w:t>
      </w:r>
      <w:r w:rsidR="00E03D27" w:rsidRPr="00E03D27">
        <w:rPr>
          <w:rFonts w:ascii="Times New Roman" w:hAnsi="Times New Roman" w:cs="Times New Roman"/>
          <w:sz w:val="32"/>
          <w:szCs w:val="28"/>
        </w:rPr>
        <w:t xml:space="preserve"> </w:t>
      </w:r>
      <w:r w:rsidR="00E03D27" w:rsidRPr="00E03D27">
        <w:rPr>
          <w:rFonts w:ascii="Times New Roman" w:hAnsi="Times New Roman" w:cs="Times New Roman"/>
          <w:b/>
          <w:sz w:val="32"/>
          <w:szCs w:val="28"/>
        </w:rPr>
        <w:t>области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8" w:anchor="1111" w:history="1">
        <w:r>
          <w:rPr>
            <w:rStyle w:val="a5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 21 июля 1993 г. № 5485-1 "О государственной тайне" к государственной тайне,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9" w:anchor="11000" w:history="1">
        <w:r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777F15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машино-местах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иных объектах, отнесенных законом к недвижимости,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777F15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III. Порядок учета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10" w:anchor="1017" w:history="1">
        <w:r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11" w:anchor="1018" w:history="1">
        <w:r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12" w:anchor="1015" w:history="1">
        <w:r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органом решения, предусмотренного </w:t>
      </w:r>
      <w:hyperlink r:id="rId13" w:anchor="1223" w:history="1">
        <w:r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уполномоченным органом в порядке, установленном </w:t>
      </w:r>
      <w:hyperlink r:id="rId14" w:anchor="1015" w:history="1">
        <w:r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1027"/>
      <w:bookmarkStart w:id="2" w:name="1"/>
      <w:bookmarkEnd w:id="1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5" w:anchor="1112" w:history="1">
        <w:r>
          <w:rPr>
            <w:rStyle w:val="a5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а также региональных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образований, за исключением случаев предоставления информации безвозмездно в порядке, предусмотренном </w:t>
      </w:r>
      <w:hyperlink r:id="rId16" w:anchor="1029" w:history="1">
        <w:r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пунктом 29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534D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Pr="003A39D3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Pr="003A39D3" w:rsidRDefault="003D4297" w:rsidP="00534DA2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Приложение к порядку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 w:rsidRPr="003A39D3"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</w:t>
      </w:r>
      <w:proofErr w:type="gramStart"/>
      <w:r w:rsidRPr="003A39D3">
        <w:rPr>
          <w:rFonts w:ascii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самоуправления,</w:t>
      </w:r>
      <w:proofErr w:type="gramEnd"/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уполномоченного на ведение реестра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муниципального имущества)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Заявитель_____________________________________________________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gramStart"/>
      <w:r w:rsidRPr="003A39D3">
        <w:rPr>
          <w:rFonts w:ascii="Times New Roman" w:hAnsi="Times New Roman" w:cs="Times New Roman"/>
          <w:sz w:val="28"/>
          <w:szCs w:val="28"/>
          <w:lang w:eastAsia="ru-RU"/>
        </w:rPr>
        <w:t>(наименование юридического лица, фамилия, имя, отчество</w:t>
      </w:r>
      <w:proofErr w:type="gramEnd"/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(при наличии) физического лица)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учета_____________________________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511" w:type="dxa"/>
        <w:tblCellSpacing w:w="15" w:type="dxa"/>
        <w:tblLook w:val="04A0"/>
      </w:tblPr>
      <w:tblGrid>
        <w:gridCol w:w="2040"/>
        <w:gridCol w:w="88"/>
        <w:gridCol w:w="30"/>
        <w:gridCol w:w="446"/>
        <w:gridCol w:w="212"/>
        <w:gridCol w:w="3360"/>
        <w:gridCol w:w="955"/>
        <w:gridCol w:w="4330"/>
        <w:gridCol w:w="50"/>
      </w:tblGrid>
      <w:tr w:rsidR="003D4297" w:rsidRPr="003A39D3" w:rsidTr="005F1637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Pr="003A39D3" w:rsidRDefault="003D4297" w:rsidP="005F1637">
            <w:pPr>
              <w:rPr>
                <w:sz w:val="28"/>
                <w:szCs w:val="28"/>
              </w:rPr>
            </w:pPr>
          </w:p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RPr="003A39D3" w:rsidTr="005F1637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rPr>
                <w:sz w:val="28"/>
                <w:szCs w:val="28"/>
              </w:rPr>
            </w:pPr>
          </w:p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rPr>
                <w:sz w:val="28"/>
                <w:szCs w:val="28"/>
              </w:rPr>
            </w:pPr>
          </w:p>
        </w:tc>
      </w:tr>
    </w:tbl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4440"/>
        <w:gridCol w:w="4394"/>
        <w:gridCol w:w="142"/>
      </w:tblGrid>
      <w:tr w:rsidR="003D4297" w:rsidRPr="003A39D3" w:rsidTr="005F1637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RPr="003A39D3" w:rsidTr="005F1637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Pr="003A39D3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RPr="003A39D3" w:rsidTr="005F1637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RPr="003A39D3" w:rsidTr="005F1637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Pr="003A39D3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RPr="003A39D3" w:rsidTr="005F1637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Pr="003A39D3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RPr="003A39D3" w:rsidTr="005F1637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/>
      </w:tblPr>
      <w:tblGrid>
        <w:gridCol w:w="3447"/>
        <w:gridCol w:w="2809"/>
        <w:gridCol w:w="2861"/>
      </w:tblGrid>
      <w:tr w:rsidR="003D4297" w:rsidRPr="003A39D3" w:rsidTr="005F1637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RPr="003A39D3" w:rsidTr="005F1637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Дата изменения</w:t>
            </w:r>
          </w:p>
        </w:tc>
      </w:tr>
      <w:tr w:rsidR="003D4297" w:rsidRPr="003A39D3" w:rsidTr="005F1637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RPr="003A39D3" w:rsidTr="005F163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3D4297" w:rsidRPr="003A39D3" w:rsidTr="005F163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RPr="003A39D3" w:rsidTr="005F1637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RPr="003A39D3" w:rsidTr="005F1637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Pr="003A39D3" w:rsidRDefault="003D4297" w:rsidP="005F1637">
            <w:pPr>
              <w:rPr>
                <w:sz w:val="28"/>
                <w:szCs w:val="28"/>
              </w:rPr>
            </w:pPr>
          </w:p>
        </w:tc>
      </w:tr>
    </w:tbl>
    <w:p w:rsidR="003D4297" w:rsidRPr="003A39D3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ОТМЕТКА О ПОДТВЕРЖДЕНИИ СВЕДЕНИЙ,</w:t>
      </w:r>
    </w:p>
    <w:p w:rsidR="003D4297" w:rsidRPr="003A39D3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39D3">
        <w:rPr>
          <w:rFonts w:ascii="Times New Roman" w:hAnsi="Times New Roman" w:cs="Times New Roman"/>
          <w:sz w:val="28"/>
          <w:szCs w:val="28"/>
          <w:lang w:eastAsia="ru-RU"/>
        </w:rPr>
        <w:t>СОДЕРЖАЩИХСЯ</w:t>
      </w:r>
      <w:proofErr w:type="gramEnd"/>
      <w:r w:rsidRPr="003A39D3"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НАСТОЯЩЕЙ ВЫПИСКЕ</w:t>
      </w:r>
    </w:p>
    <w:p w:rsidR="003D4297" w:rsidRPr="003A39D3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исполнитель:   _____________  _____________ ____________________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                (должность)     (подпись)      (расшифровка подписи)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9D3">
        <w:rPr>
          <w:rFonts w:ascii="Times New Roman" w:hAnsi="Times New Roman" w:cs="Times New Roman"/>
          <w:sz w:val="28"/>
          <w:szCs w:val="28"/>
          <w:lang w:eastAsia="ru-RU"/>
        </w:rPr>
        <w:t>"____"______________20__ г.</w:t>
      </w:r>
    </w:p>
    <w:p w:rsidR="003D4297" w:rsidRPr="003A39D3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D4297" w:rsidRPr="003A39D3" w:rsidSect="00534DA2">
      <w:headerReference w:type="default" r:id="rId17"/>
      <w:pgSz w:w="11906" w:h="16838"/>
      <w:pgMar w:top="709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65" w:rsidRDefault="00691865" w:rsidP="00E26493">
      <w:r>
        <w:separator/>
      </w:r>
    </w:p>
  </w:endnote>
  <w:endnote w:type="continuationSeparator" w:id="0">
    <w:p w:rsidR="00691865" w:rsidRDefault="00691865" w:rsidP="00E2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65" w:rsidRDefault="00691865" w:rsidP="00E26493">
      <w:r>
        <w:separator/>
      </w:r>
    </w:p>
  </w:footnote>
  <w:footnote w:type="continuationSeparator" w:id="0">
    <w:p w:rsidR="00691865" w:rsidRDefault="00691865" w:rsidP="00E26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493" w:rsidRPr="00E26493" w:rsidRDefault="00E26493" w:rsidP="00E26493">
    <w:pPr>
      <w:pStyle w:val="a8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E45"/>
    <w:rsid w:val="0005132D"/>
    <w:rsid w:val="000D45EB"/>
    <w:rsid w:val="000E5E45"/>
    <w:rsid w:val="00140A98"/>
    <w:rsid w:val="00151F31"/>
    <w:rsid w:val="00170458"/>
    <w:rsid w:val="001B46E5"/>
    <w:rsid w:val="00214440"/>
    <w:rsid w:val="00266D35"/>
    <w:rsid w:val="002A099F"/>
    <w:rsid w:val="003A39D3"/>
    <w:rsid w:val="003D4297"/>
    <w:rsid w:val="00432748"/>
    <w:rsid w:val="004C3EF0"/>
    <w:rsid w:val="004D768B"/>
    <w:rsid w:val="00534DA2"/>
    <w:rsid w:val="005446FF"/>
    <w:rsid w:val="00691865"/>
    <w:rsid w:val="006A7B6E"/>
    <w:rsid w:val="007303AB"/>
    <w:rsid w:val="00777F15"/>
    <w:rsid w:val="008D1F0C"/>
    <w:rsid w:val="00971718"/>
    <w:rsid w:val="00A73444"/>
    <w:rsid w:val="00B5012C"/>
    <w:rsid w:val="00BE79F5"/>
    <w:rsid w:val="00C1246D"/>
    <w:rsid w:val="00E03D27"/>
    <w:rsid w:val="00E13B88"/>
    <w:rsid w:val="00E26493"/>
    <w:rsid w:val="00E35629"/>
    <w:rsid w:val="00E7686E"/>
    <w:rsid w:val="00F26425"/>
    <w:rsid w:val="00F5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971718"/>
  </w:style>
  <w:style w:type="paragraph" w:styleId="a6">
    <w:name w:val="Balloon Text"/>
    <w:basedOn w:val="a"/>
    <w:link w:val="a7"/>
    <w:uiPriority w:val="99"/>
    <w:semiHidden/>
    <w:unhideWhenUsed/>
    <w:rsid w:val="009717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7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264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6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264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64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arant.ru/products/ipo/prime/doc/408023687/?ysclid=lu2fpuegk511541227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8023687/?ysclid=lu2fpuegk51154122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4756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2024-06-28T12:45:00Z</dcterms:created>
  <dcterms:modified xsi:type="dcterms:W3CDTF">2024-06-28T12:46:00Z</dcterms:modified>
</cp:coreProperties>
</file>